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5EAA6" w14:textId="7D53364B" w:rsidR="00761675" w:rsidRPr="005A4061" w:rsidRDefault="008C1765" w:rsidP="008C1765">
      <w:pPr>
        <w:pStyle w:val="Ttulo"/>
      </w:pPr>
      <w:r>
        <w:t xml:space="preserve">Exercícios de fixação da disciplina de Interpretação Bíblica - </w:t>
      </w:r>
      <w:bookmarkStart w:id="0" w:name="_GoBack"/>
      <w:bookmarkEnd w:id="0"/>
      <w:r>
        <w:t>Prof. Nilson</w:t>
      </w:r>
    </w:p>
    <w:p w14:paraId="15D7B6E7" w14:textId="77777777" w:rsidR="00DB63FA" w:rsidRPr="005A4061" w:rsidRDefault="00DB63FA">
      <w:pPr>
        <w:rPr>
          <w:rFonts w:ascii="Arial" w:hAnsi="Arial" w:cs="Arial"/>
          <w:sz w:val="24"/>
          <w:szCs w:val="24"/>
        </w:rPr>
      </w:pPr>
    </w:p>
    <w:p w14:paraId="0F90722B" w14:textId="77777777" w:rsidR="00DB63FA" w:rsidRPr="005A4061" w:rsidRDefault="00DB63FA" w:rsidP="005A4061">
      <w:pPr>
        <w:rPr>
          <w:rFonts w:ascii="Arial" w:hAnsi="Arial" w:cs="Arial"/>
          <w:b/>
          <w:sz w:val="24"/>
        </w:rPr>
      </w:pPr>
      <w:r w:rsidRPr="005A4061">
        <w:rPr>
          <w:rFonts w:ascii="Arial" w:hAnsi="Arial" w:cs="Arial"/>
          <w:b/>
          <w:sz w:val="24"/>
        </w:rPr>
        <w:t>Regra Fundamental</w:t>
      </w:r>
    </w:p>
    <w:p w14:paraId="16CCDA8D" w14:textId="77777777" w:rsidR="005A4061" w:rsidRDefault="00DB63FA" w:rsidP="005A4061">
      <w:pPr>
        <w:autoSpaceDE w:val="0"/>
        <w:autoSpaceDN w:val="0"/>
        <w:adjustRightInd w:val="0"/>
        <w:spacing w:before="30" w:after="0" w:line="276" w:lineRule="auto"/>
        <w:ind w:right="45"/>
        <w:jc w:val="both"/>
        <w:rPr>
          <w:rFonts w:ascii="Arial" w:hAnsi="Arial" w:cs="Arial"/>
          <w:i/>
          <w:color w:val="000000"/>
          <w:sz w:val="24"/>
          <w:szCs w:val="24"/>
          <w:u w:val="single"/>
        </w:rPr>
      </w:pPr>
      <w:r w:rsidRPr="005A4061">
        <w:rPr>
          <w:rFonts w:ascii="Arial" w:hAnsi="Arial" w:cs="Arial"/>
          <w:i/>
          <w:color w:val="000000"/>
          <w:sz w:val="24"/>
          <w:szCs w:val="24"/>
          <w:u w:val="single"/>
        </w:rPr>
        <w:t xml:space="preserve">A Escritura explicada pela própria Escritura, ou A </w:t>
      </w:r>
      <w:r w:rsidR="005A4061" w:rsidRPr="005A4061">
        <w:rPr>
          <w:rFonts w:ascii="Arial" w:hAnsi="Arial" w:cs="Arial"/>
          <w:i/>
          <w:color w:val="000000"/>
          <w:sz w:val="24"/>
          <w:szCs w:val="24"/>
          <w:u w:val="single"/>
        </w:rPr>
        <w:t>Bíblia, sua própria interprete.</w:t>
      </w:r>
    </w:p>
    <w:p w14:paraId="014CE814" w14:textId="505638C6" w:rsidR="00DB63FA" w:rsidRPr="005A4061" w:rsidRDefault="00DB63FA" w:rsidP="005A4061">
      <w:pPr>
        <w:autoSpaceDE w:val="0"/>
        <w:autoSpaceDN w:val="0"/>
        <w:adjustRightInd w:val="0"/>
        <w:spacing w:before="30" w:after="0" w:line="276" w:lineRule="auto"/>
        <w:ind w:right="45"/>
        <w:jc w:val="both"/>
        <w:rPr>
          <w:rFonts w:ascii="Arial" w:hAnsi="Arial" w:cs="Arial"/>
          <w:b/>
          <w:i/>
          <w:color w:val="000000"/>
          <w:sz w:val="24"/>
          <w:szCs w:val="24"/>
          <w:u w:val="single"/>
        </w:rPr>
      </w:pPr>
      <w:r w:rsidRPr="005A4061">
        <w:rPr>
          <w:rFonts w:ascii="Arial" w:hAnsi="Arial" w:cs="Arial"/>
          <w:b/>
          <w:sz w:val="24"/>
          <w:szCs w:val="24"/>
        </w:rPr>
        <w:t>A Primeira Regra</w:t>
      </w:r>
    </w:p>
    <w:p w14:paraId="4579B3B1" w14:textId="77777777" w:rsidR="005A4061" w:rsidRDefault="00DB63FA" w:rsidP="005A4061">
      <w:pPr>
        <w:autoSpaceDE w:val="0"/>
        <w:autoSpaceDN w:val="0"/>
        <w:adjustRightInd w:val="0"/>
        <w:spacing w:before="30" w:after="0" w:line="276" w:lineRule="auto"/>
        <w:ind w:right="45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5A4061">
        <w:rPr>
          <w:rFonts w:ascii="Arial" w:hAnsi="Arial" w:cs="Arial"/>
          <w:i/>
          <w:sz w:val="24"/>
          <w:szCs w:val="24"/>
          <w:u w:val="single"/>
        </w:rPr>
        <w:t>“É preciso, o quanto seja possível, tomar as palavras</w:t>
      </w:r>
      <w:r w:rsidR="005A4061">
        <w:rPr>
          <w:rFonts w:ascii="Arial" w:hAnsi="Arial" w:cs="Arial"/>
          <w:i/>
          <w:sz w:val="24"/>
          <w:szCs w:val="24"/>
          <w:u w:val="single"/>
        </w:rPr>
        <w:t xml:space="preserve"> em seu sentido usual e comum”.</w:t>
      </w:r>
    </w:p>
    <w:p w14:paraId="30E8CA70" w14:textId="20E327C7" w:rsidR="00DB63FA" w:rsidRPr="005A4061" w:rsidRDefault="00DB63FA" w:rsidP="005A4061">
      <w:pPr>
        <w:rPr>
          <w:rFonts w:ascii="Arial" w:hAnsi="Arial" w:cs="Arial"/>
          <w:b/>
          <w:i/>
          <w:sz w:val="28"/>
          <w:szCs w:val="24"/>
          <w:u w:val="single"/>
        </w:rPr>
      </w:pPr>
      <w:r w:rsidRPr="005A4061">
        <w:rPr>
          <w:rFonts w:ascii="Arial" w:hAnsi="Arial" w:cs="Arial"/>
          <w:b/>
          <w:sz w:val="24"/>
        </w:rPr>
        <w:t>Segunda Regra</w:t>
      </w:r>
    </w:p>
    <w:p w14:paraId="550A5E84" w14:textId="030C80CE" w:rsidR="00DB63FA" w:rsidRPr="005A4061" w:rsidRDefault="00DB63FA" w:rsidP="005A4061">
      <w:pPr>
        <w:autoSpaceDE w:val="0"/>
        <w:autoSpaceDN w:val="0"/>
        <w:adjustRightInd w:val="0"/>
        <w:spacing w:before="30" w:after="0" w:line="276" w:lineRule="auto"/>
        <w:ind w:right="45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5A4061">
        <w:rPr>
          <w:rFonts w:ascii="Arial" w:hAnsi="Arial" w:cs="Arial"/>
          <w:color w:val="000000"/>
          <w:sz w:val="24"/>
          <w:szCs w:val="24"/>
          <w:u w:val="single"/>
        </w:rPr>
        <w:t>É de todo necessário tomar as palavras no sentido que indica o conjunto da frase.</w:t>
      </w:r>
    </w:p>
    <w:p w14:paraId="5D66FD8E" w14:textId="3F4F78BC" w:rsidR="00DB63FA" w:rsidRPr="005A4061" w:rsidRDefault="00DB63FA" w:rsidP="005A4061">
      <w:pPr>
        <w:rPr>
          <w:rFonts w:ascii="Arial" w:hAnsi="Arial" w:cs="Arial"/>
          <w:b/>
          <w:sz w:val="24"/>
        </w:rPr>
      </w:pPr>
      <w:r w:rsidRPr="005A4061">
        <w:rPr>
          <w:rFonts w:ascii="Arial" w:hAnsi="Arial" w:cs="Arial"/>
          <w:b/>
          <w:sz w:val="24"/>
        </w:rPr>
        <w:t>Terceira Regra</w:t>
      </w:r>
    </w:p>
    <w:p w14:paraId="7AA0881D" w14:textId="77777777" w:rsidR="005A4061" w:rsidRDefault="00DB63FA" w:rsidP="005A4061">
      <w:pPr>
        <w:widowControl w:val="0"/>
        <w:tabs>
          <w:tab w:val="left" w:pos="20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4061">
        <w:rPr>
          <w:rFonts w:ascii="Arial" w:hAnsi="Arial" w:cs="Arial"/>
          <w:sz w:val="24"/>
          <w:szCs w:val="24"/>
        </w:rPr>
        <w:t>É necessário tomar as palavras no sentido indicado no contexto, a saber, os versículos que precedem e</w:t>
      </w:r>
      <w:r w:rsidR="005A4061">
        <w:rPr>
          <w:rFonts w:ascii="Arial" w:hAnsi="Arial" w:cs="Arial"/>
          <w:sz w:val="24"/>
          <w:szCs w:val="24"/>
        </w:rPr>
        <w:t xml:space="preserve"> seguem ao texto que se estuda.</w:t>
      </w:r>
    </w:p>
    <w:p w14:paraId="28DB0B99" w14:textId="6C405241" w:rsidR="00DB63FA" w:rsidRPr="005A4061" w:rsidRDefault="00DB63FA" w:rsidP="005A4061">
      <w:pPr>
        <w:rPr>
          <w:rFonts w:ascii="Arial" w:hAnsi="Arial" w:cs="Arial"/>
          <w:b/>
          <w:sz w:val="24"/>
        </w:rPr>
      </w:pPr>
      <w:r w:rsidRPr="005A4061">
        <w:rPr>
          <w:rFonts w:ascii="Arial" w:hAnsi="Arial" w:cs="Arial"/>
          <w:b/>
          <w:sz w:val="24"/>
        </w:rPr>
        <w:t>Quarta regra</w:t>
      </w:r>
    </w:p>
    <w:p w14:paraId="373B8121" w14:textId="77777777" w:rsidR="005A4061" w:rsidRDefault="00DB63FA" w:rsidP="005A4061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5A4061">
        <w:rPr>
          <w:rFonts w:ascii="Arial" w:hAnsi="Arial" w:cs="Arial"/>
          <w:color w:val="000000"/>
          <w:sz w:val="24"/>
          <w:szCs w:val="24"/>
        </w:rPr>
        <w:t>É preciso tomar em consideração o objeto ou desígnio do livro ou passagem em que ocorrem as palavras ou expressões obscuras</w:t>
      </w:r>
    </w:p>
    <w:p w14:paraId="464DF414" w14:textId="5619CF88" w:rsidR="00DB63FA" w:rsidRPr="005A4061" w:rsidRDefault="00DB63FA" w:rsidP="005A4061">
      <w:pPr>
        <w:spacing w:line="276" w:lineRule="auto"/>
        <w:rPr>
          <w:rFonts w:ascii="Arial" w:hAnsi="Arial" w:cs="Arial"/>
          <w:b/>
          <w:color w:val="000000"/>
          <w:sz w:val="28"/>
          <w:szCs w:val="24"/>
        </w:rPr>
      </w:pPr>
      <w:r w:rsidRPr="005A4061">
        <w:rPr>
          <w:rFonts w:ascii="Arial" w:hAnsi="Arial" w:cs="Arial"/>
          <w:b/>
          <w:sz w:val="24"/>
        </w:rPr>
        <w:t>Quinta Regra  -  I Parte</w:t>
      </w:r>
    </w:p>
    <w:p w14:paraId="37998832" w14:textId="77777777" w:rsidR="00DB63FA" w:rsidRPr="005A4061" w:rsidRDefault="00DB63FA" w:rsidP="005A4061">
      <w:pPr>
        <w:autoSpaceDE w:val="0"/>
        <w:autoSpaceDN w:val="0"/>
        <w:adjustRightInd w:val="0"/>
        <w:spacing w:before="30" w:after="0" w:line="276" w:lineRule="auto"/>
        <w:ind w:right="45"/>
        <w:jc w:val="both"/>
        <w:rPr>
          <w:rFonts w:ascii="Arial" w:hAnsi="Arial" w:cs="Arial"/>
          <w:color w:val="000000"/>
          <w:sz w:val="24"/>
          <w:szCs w:val="24"/>
        </w:rPr>
      </w:pPr>
      <w:r w:rsidRPr="005A4061">
        <w:rPr>
          <w:rFonts w:ascii="Arial" w:hAnsi="Arial" w:cs="Arial"/>
          <w:color w:val="000000"/>
          <w:sz w:val="24"/>
          <w:szCs w:val="24"/>
        </w:rPr>
        <w:t>É necessário consultar as passagens paralelas.</w:t>
      </w:r>
    </w:p>
    <w:p w14:paraId="6D8EEDE4" w14:textId="77777777" w:rsidR="00DB63FA" w:rsidRPr="005A4061" w:rsidRDefault="00DB63FA" w:rsidP="005A4061">
      <w:pPr>
        <w:autoSpaceDE w:val="0"/>
        <w:autoSpaceDN w:val="0"/>
        <w:adjustRightInd w:val="0"/>
        <w:spacing w:before="30" w:after="0" w:line="276" w:lineRule="auto"/>
        <w:ind w:right="45"/>
        <w:rPr>
          <w:rFonts w:ascii="Arial" w:hAnsi="Arial" w:cs="Arial"/>
          <w:color w:val="000000"/>
          <w:sz w:val="24"/>
          <w:szCs w:val="24"/>
        </w:rPr>
      </w:pPr>
      <w:r w:rsidRPr="005A4061">
        <w:rPr>
          <w:rFonts w:ascii="Arial" w:hAnsi="Arial" w:cs="Arial"/>
          <w:b/>
          <w:bCs/>
          <w:sz w:val="24"/>
          <w:szCs w:val="24"/>
        </w:rPr>
        <w:t>Paralelos de palavras</w:t>
      </w:r>
    </w:p>
    <w:p w14:paraId="1F492324" w14:textId="77777777" w:rsidR="00DB63FA" w:rsidRPr="005A4061" w:rsidRDefault="00DB63FA" w:rsidP="005A406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A4061">
        <w:rPr>
          <w:rFonts w:ascii="Arial" w:hAnsi="Arial" w:cs="Arial"/>
          <w:sz w:val="24"/>
          <w:szCs w:val="24"/>
        </w:rPr>
        <w:t>Quando o conjunto da frase ou o contexto</w:t>
      </w:r>
    </w:p>
    <w:p w14:paraId="7A25C62E" w14:textId="77777777" w:rsidR="005A4061" w:rsidRDefault="00DB63FA" w:rsidP="005A406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A4061">
        <w:rPr>
          <w:rFonts w:ascii="Arial" w:hAnsi="Arial" w:cs="Arial"/>
          <w:sz w:val="24"/>
          <w:szCs w:val="24"/>
        </w:rPr>
        <w:t xml:space="preserve">não bastam para explicar uma palavra duvidosa, procura-se às vezes adquirir seu verdadeiro significado consultando outros textos em que ela </w:t>
      </w:r>
      <w:r w:rsidR="005A4061">
        <w:rPr>
          <w:rFonts w:ascii="Arial" w:hAnsi="Arial" w:cs="Arial"/>
          <w:sz w:val="24"/>
          <w:szCs w:val="24"/>
        </w:rPr>
        <w:t>ocorre.</w:t>
      </w:r>
    </w:p>
    <w:p w14:paraId="4CCD4927" w14:textId="3A661AFA" w:rsidR="00DB63FA" w:rsidRPr="005A4061" w:rsidRDefault="00DB63FA" w:rsidP="005A406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A4061">
        <w:rPr>
          <w:rFonts w:ascii="Arial" w:hAnsi="Arial" w:cs="Arial"/>
          <w:b/>
          <w:sz w:val="24"/>
          <w:szCs w:val="24"/>
        </w:rPr>
        <w:t>Quinta Regra  -  II Parte</w:t>
      </w:r>
    </w:p>
    <w:p w14:paraId="0CB2BE3E" w14:textId="6E792E8A" w:rsidR="00DB63FA" w:rsidRPr="005A4061" w:rsidRDefault="00DB63FA" w:rsidP="005A4061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5A4061">
        <w:rPr>
          <w:rFonts w:ascii="Arial" w:hAnsi="Arial" w:cs="Arial"/>
          <w:b/>
          <w:bCs/>
          <w:sz w:val="24"/>
          <w:szCs w:val="24"/>
        </w:rPr>
        <w:t>Paralelos de ideias</w:t>
      </w:r>
      <w:r w:rsidR="005A4061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5A4061">
        <w:rPr>
          <w:rFonts w:ascii="Arial" w:hAnsi="Arial" w:cs="Arial"/>
          <w:sz w:val="24"/>
          <w:szCs w:val="24"/>
        </w:rPr>
        <w:t>1 -  Para conseguir ideia completa e exata do que ensina a Escritura neste ou naquele texto determinado, talvez obscuro ou discutível, consultam-se não só as palavras paralelas, mas os ensinos, as narrativas e fatos contidos em textos ou passagens esclarecedoras que se relacionem com o dito texto obscuro ou discutível. Tais textos ou passagens chamam-se paralelos de ideias.</w:t>
      </w:r>
    </w:p>
    <w:p w14:paraId="1B0FB0D3" w14:textId="2DD61EF0" w:rsidR="00DB63FA" w:rsidRPr="005A4061" w:rsidRDefault="00DB63FA" w:rsidP="005A40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Cs w:val="24"/>
        </w:rPr>
      </w:pPr>
      <w:r w:rsidRPr="005A4061">
        <w:rPr>
          <w:rFonts w:ascii="Arial" w:hAnsi="Arial" w:cs="Arial"/>
          <w:b/>
          <w:bCs/>
          <w:color w:val="000000" w:themeColor="text1"/>
          <w:szCs w:val="24"/>
        </w:rPr>
        <w:t>QUINTA REGRA – 3ª PARTE</w:t>
      </w:r>
    </w:p>
    <w:p w14:paraId="20F6286C" w14:textId="54321F01" w:rsidR="00DB63FA" w:rsidRPr="005A4061" w:rsidRDefault="00DB63FA" w:rsidP="005A406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A4061">
        <w:rPr>
          <w:rFonts w:ascii="Arial" w:hAnsi="Arial" w:cs="Arial"/>
          <w:b/>
          <w:bCs/>
          <w:color w:val="000000"/>
          <w:sz w:val="24"/>
          <w:szCs w:val="24"/>
        </w:rPr>
        <w:t>Paralelos de ensinos gerais</w:t>
      </w:r>
      <w:r w:rsidR="005A4061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5A4061">
        <w:rPr>
          <w:rFonts w:ascii="Arial" w:hAnsi="Arial" w:cs="Arial"/>
          <w:sz w:val="24"/>
          <w:szCs w:val="24"/>
        </w:rPr>
        <w:t xml:space="preserve">1. Para a aclaração e correta interpretação de determinadas passagens não são suficientes os paralelos de palavras e ideias; é preciso recorrer ao </w:t>
      </w:r>
      <w:r w:rsidRPr="005A4061">
        <w:rPr>
          <w:rFonts w:ascii="Arial" w:hAnsi="Arial" w:cs="Arial"/>
          <w:b/>
          <w:bCs/>
          <w:sz w:val="24"/>
          <w:szCs w:val="24"/>
        </w:rPr>
        <w:t>teor geral</w:t>
      </w:r>
      <w:r w:rsidRPr="005A4061">
        <w:rPr>
          <w:rFonts w:ascii="Arial" w:hAnsi="Arial" w:cs="Arial"/>
          <w:sz w:val="24"/>
          <w:szCs w:val="24"/>
        </w:rPr>
        <w:t xml:space="preserve">, ou seja, aos </w:t>
      </w:r>
      <w:r w:rsidRPr="005A4061">
        <w:rPr>
          <w:rFonts w:ascii="Arial" w:hAnsi="Arial" w:cs="Arial"/>
          <w:b/>
          <w:bCs/>
          <w:sz w:val="24"/>
          <w:szCs w:val="24"/>
        </w:rPr>
        <w:t xml:space="preserve">ensinos gerais </w:t>
      </w:r>
      <w:r w:rsidRPr="005A4061">
        <w:rPr>
          <w:rFonts w:ascii="Arial" w:hAnsi="Arial" w:cs="Arial"/>
          <w:sz w:val="24"/>
          <w:szCs w:val="24"/>
        </w:rPr>
        <w:t>das Escrituras.</w:t>
      </w:r>
    </w:p>
    <w:p w14:paraId="1E798E3A" w14:textId="77777777" w:rsidR="00DB63FA" w:rsidRPr="005A4061" w:rsidRDefault="00DB63FA" w:rsidP="00DB63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5A4061">
        <w:rPr>
          <w:rFonts w:ascii="Arial" w:hAnsi="Arial" w:cs="Arial"/>
          <w:b/>
          <w:bCs/>
          <w:color w:val="000000" w:themeColor="text1"/>
          <w:szCs w:val="24"/>
        </w:rPr>
        <w:t>FIGURAS DE RETÓRICA – 1ª PARTE</w:t>
      </w:r>
    </w:p>
    <w:p w14:paraId="411BC3F2" w14:textId="729936DE" w:rsidR="00DB63FA" w:rsidRPr="005A4061" w:rsidRDefault="00DB63FA" w:rsidP="00DB63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5A4061">
        <w:rPr>
          <w:rFonts w:ascii="Arial" w:hAnsi="Arial" w:cs="Arial"/>
          <w:b/>
          <w:bCs/>
          <w:color w:val="000000"/>
          <w:sz w:val="24"/>
          <w:szCs w:val="24"/>
        </w:rPr>
        <w:t>Metáfora</w:t>
      </w:r>
      <w:r w:rsidR="005A406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A4061">
        <w:rPr>
          <w:rFonts w:ascii="Arial" w:hAnsi="Arial" w:cs="Arial"/>
          <w:color w:val="000000"/>
          <w:sz w:val="24"/>
          <w:szCs w:val="24"/>
        </w:rPr>
        <w:t>1. Esta figura tem por base alguma semelhança entre dois objetos ou fatos, caracterizando-se um com o que é próprio do outro.</w:t>
      </w:r>
    </w:p>
    <w:p w14:paraId="62F26C30" w14:textId="50F91FE4" w:rsidR="00A17050" w:rsidRPr="005A4061" w:rsidRDefault="005A4061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Sinédoque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2. Faz-se uso desta figura quando se toma a parte pelo todo ou o todo pela parte, o plural pelo singular, o gênero pela espécie, ou vice-versa.</w:t>
      </w:r>
    </w:p>
    <w:p w14:paraId="295C1D3C" w14:textId="6B073912" w:rsidR="00A17050" w:rsidRPr="005A4061" w:rsidRDefault="005A4061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Metonímia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3. Emprega-se esta figura quando se emprega a causa pelo efeito, ou o sinal ou símbolo pela realidade que indica o símbolo.</w:t>
      </w:r>
    </w:p>
    <w:p w14:paraId="49B7ED0E" w14:textId="7CCFBFA6" w:rsidR="00A17050" w:rsidRPr="005A4061" w:rsidRDefault="005A4061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Prosopopeia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4. Usa-se esta figura quando se personificam as coisas inanimadas, atribuindo-lhes os feitos e ações das pessoas.</w:t>
      </w:r>
    </w:p>
    <w:p w14:paraId="27DD9E66" w14:textId="7117F28A" w:rsidR="00A17050" w:rsidRPr="005A4061" w:rsidRDefault="005A4061" w:rsidP="005A40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Ironia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5. Faz-se uso desta figura quando se expressa o contrário do que se quer dizer, porém sempre de tal modo que se faz ressaltar o sentido verdadeiro.</w:t>
      </w:r>
    </w:p>
    <w:p w14:paraId="6AADD24E" w14:textId="298DA542" w:rsidR="00A17050" w:rsidRPr="005A4061" w:rsidRDefault="005A4061" w:rsidP="005A40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Hipérbole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6. É a figura pela qual se representa uma coisa como muito maior ou menor do que em realidade é, para apresentá-la viva à imaginação. Tanto a ironia como a hipérbole são pouco usadas nas Escrituras, porém, alguma ou outra vez ocorrem.</w:t>
      </w:r>
    </w:p>
    <w:p w14:paraId="2969F119" w14:textId="77777777" w:rsidR="00A17050" w:rsidRPr="005A4061" w:rsidRDefault="00A17050" w:rsidP="00A170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  <w:r w:rsidRPr="005A4061">
        <w:rPr>
          <w:rFonts w:ascii="Arial" w:hAnsi="Arial" w:cs="Arial"/>
          <w:b/>
          <w:bCs/>
          <w:color w:val="FF0000"/>
          <w:sz w:val="24"/>
          <w:szCs w:val="24"/>
        </w:rPr>
        <w:t>FIGURAS DE RETÓRICA – 2ª PARTE</w:t>
      </w:r>
    </w:p>
    <w:p w14:paraId="70500700" w14:textId="78FD79D3" w:rsidR="00A17050" w:rsidRPr="005A4061" w:rsidRDefault="005A4061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Alegoria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1. A alegoria é uma figura retórica que geralmente consta de várias metáforas unidas, representando cada uma delas realidades correspondentes. Costuma ser tão palpável a natureza figurativa da alegoria, que uma interpretação ao pé da letra quase que se faz impossível. Às vezes a alegoria está acompanhada, como a parábola, da interpretação que exige.</w:t>
      </w:r>
    </w:p>
    <w:p w14:paraId="56BD5F04" w14:textId="49DFEE8F" w:rsidR="00A17050" w:rsidRPr="005A4061" w:rsidRDefault="005A4061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Fábula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2. A fábula é uma alegoria histórica, pouco usada na Escritura, na qual um fato ou alguma circunstância se expõe em forma de narração mediante a personificação de coisas ou de animais.</w:t>
      </w:r>
    </w:p>
    <w:p w14:paraId="3CC4E00B" w14:textId="1B7E9418" w:rsidR="00A17050" w:rsidRPr="005A4061" w:rsidRDefault="005A4061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Enigma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3. O enigma também é um tipo de alegoria, porém sua solução é difícil e abstrusa.</w:t>
      </w:r>
    </w:p>
    <w:p w14:paraId="4498596D" w14:textId="2DFA4D1F" w:rsidR="00A17050" w:rsidRPr="005A4061" w:rsidRDefault="005A4061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Tipo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 xml:space="preserve">4. O tipo é uma classe de metáfora que não consiste meramente em palavras, mas em fatos, pessoas ou objetos que designam fatos semelhantes, pessoas ou objetos no porvir. Estas figuras são numerosas e chamam-se na Escritura </w:t>
      </w:r>
      <w:r w:rsidR="00A17050" w:rsidRPr="005A4061">
        <w:rPr>
          <w:rFonts w:ascii="Arial" w:hAnsi="Arial" w:cs="Arial"/>
          <w:b/>
          <w:bCs/>
          <w:color w:val="000000"/>
          <w:sz w:val="24"/>
          <w:szCs w:val="24"/>
        </w:rPr>
        <w:t>sombra dos bens vindouros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, e se encontram, portanto, no Antigo Testamento.</w:t>
      </w:r>
    </w:p>
    <w:p w14:paraId="04BFBCFA" w14:textId="17DC8B0C" w:rsidR="00A17050" w:rsidRPr="00B313AB" w:rsidRDefault="00B313AB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Símbolo </w:t>
      </w:r>
      <w:r w:rsidR="00A17050" w:rsidRPr="005A4061">
        <w:rPr>
          <w:rFonts w:ascii="Arial" w:hAnsi="Arial" w:cs="Arial"/>
          <w:color w:val="000000"/>
          <w:sz w:val="24"/>
          <w:szCs w:val="24"/>
        </w:rPr>
        <w:t>5. O símbolo é uma espécie de tipo pelo qual se representa alguma coisa ou algum fato por meio de outra coisa ou fato familiar que se considera a propósito para servir de semelhança ou representação.</w:t>
      </w:r>
    </w:p>
    <w:p w14:paraId="7B9EEADF" w14:textId="53E46A2A" w:rsidR="00A17050" w:rsidRPr="00B313AB" w:rsidRDefault="00A17050" w:rsidP="00A170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5A4061">
        <w:rPr>
          <w:rFonts w:ascii="Arial" w:hAnsi="Arial" w:cs="Arial"/>
          <w:b/>
          <w:bCs/>
          <w:color w:val="000000"/>
          <w:sz w:val="24"/>
          <w:szCs w:val="24"/>
        </w:rPr>
        <w:t>Parábo</w:t>
      </w:r>
      <w:r w:rsidR="00B313AB">
        <w:rPr>
          <w:rFonts w:ascii="Arial" w:hAnsi="Arial" w:cs="Arial"/>
          <w:b/>
          <w:bCs/>
          <w:color w:val="000000"/>
          <w:sz w:val="24"/>
          <w:szCs w:val="24"/>
        </w:rPr>
        <w:t xml:space="preserve">la  </w:t>
      </w:r>
      <w:r w:rsidRPr="005A4061">
        <w:rPr>
          <w:rFonts w:ascii="Arial" w:hAnsi="Arial" w:cs="Arial"/>
          <w:color w:val="000000"/>
          <w:sz w:val="24"/>
          <w:szCs w:val="24"/>
        </w:rPr>
        <w:t>6. A parábola é uma espécie de alegoria apresentada sob forma de uma narração, relatando fatos naturais ou acontecimentos possíveis, sempre com o objetivo de declarar ou ilustrar uma ou várias verdades importantes.</w:t>
      </w:r>
    </w:p>
    <w:p w14:paraId="1AA56D71" w14:textId="77777777" w:rsidR="00DB63FA" w:rsidRPr="005A4061" w:rsidRDefault="00DB63FA" w:rsidP="00DB63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64486A" w14:textId="34224C13" w:rsidR="002675F2" w:rsidRPr="003F04B2" w:rsidRDefault="00A17050" w:rsidP="00DB63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u w:val="double"/>
        </w:rPr>
      </w:pPr>
      <w:r w:rsidRPr="005A4061">
        <w:rPr>
          <w:rFonts w:ascii="Arial" w:hAnsi="Arial" w:cs="Arial"/>
          <w:sz w:val="24"/>
          <w:szCs w:val="24"/>
        </w:rPr>
        <w:t>Baseado no</w:t>
      </w:r>
      <w:r w:rsidR="002675F2" w:rsidRPr="005A4061">
        <w:rPr>
          <w:rFonts w:ascii="Arial" w:hAnsi="Arial" w:cs="Arial"/>
          <w:sz w:val="24"/>
          <w:szCs w:val="24"/>
        </w:rPr>
        <w:t xml:space="preserve"> que foi estudado até o momento, procure identificar nos textos abaixo, qual a categoria ele (texto) se enquadra. Leia com atenção, situalize - se primeiro, depois use os princípios aprendidos e classifique-o. </w:t>
      </w:r>
      <w:r w:rsidR="002675F2" w:rsidRPr="003F04B2">
        <w:rPr>
          <w:rFonts w:ascii="Arial" w:hAnsi="Arial" w:cs="Arial"/>
          <w:sz w:val="24"/>
          <w:szCs w:val="24"/>
          <w:u w:val="double"/>
        </w:rPr>
        <w:t>Boas férias!!!!</w:t>
      </w:r>
    </w:p>
    <w:p w14:paraId="3D3AE579" w14:textId="77777777" w:rsidR="002675F2" w:rsidRPr="005A4061" w:rsidRDefault="002675F2" w:rsidP="00DB63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821A11" w14:textId="77777777" w:rsidR="002565CD" w:rsidRPr="005A4061" w:rsidRDefault="002565CD" w:rsidP="002565CD">
      <w:pPr>
        <w:widowControl w:val="0"/>
        <w:tabs>
          <w:tab w:val="left" w:pos="21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A4061">
        <w:rPr>
          <w:rFonts w:ascii="Arial" w:hAnsi="Arial" w:cs="Arial"/>
          <w:b/>
          <w:bCs/>
          <w:color w:val="417CBE"/>
          <w:position w:val="4"/>
          <w:sz w:val="24"/>
          <w:szCs w:val="24"/>
        </w:rPr>
        <w:t>Rom 3:</w:t>
      </w:r>
      <w:r w:rsidRPr="005A4061">
        <w:rPr>
          <w:rFonts w:ascii="Arial" w:hAnsi="Arial" w:cs="Arial"/>
          <w:b/>
          <w:bCs/>
          <w:color w:val="417CBE"/>
          <w:position w:val="4"/>
          <w:sz w:val="24"/>
          <w:szCs w:val="24"/>
          <w:lang w:val="x-none"/>
        </w:rPr>
        <w:t xml:space="preserve">12 </w:t>
      </w:r>
      <w:r w:rsidRPr="005A4061">
        <w:rPr>
          <w:rFonts w:ascii="Arial" w:hAnsi="Arial" w:cs="Arial"/>
          <w:b/>
          <w:bCs/>
          <w:color w:val="417CBE"/>
          <w:position w:val="4"/>
          <w:sz w:val="24"/>
          <w:szCs w:val="24"/>
        </w:rPr>
        <w:t>;</w:t>
      </w:r>
      <w:r w:rsidRPr="005A4061">
        <w:rPr>
          <w:rFonts w:ascii="Arial" w:hAnsi="Arial" w:cs="Arial"/>
          <w:color w:val="000000"/>
          <w:sz w:val="24"/>
          <w:szCs w:val="24"/>
        </w:rPr>
        <w:t xml:space="preserve"> Lc 1:69  ;</w:t>
      </w:r>
      <w:r w:rsidRPr="005A4061">
        <w:rPr>
          <w:rFonts w:ascii="Arial" w:hAnsi="Arial" w:cs="Arial"/>
          <w:sz w:val="24"/>
          <w:szCs w:val="24"/>
        </w:rPr>
        <w:t xml:space="preserve"> Atos 7:25;</w:t>
      </w:r>
      <w:r w:rsidRPr="005A4061">
        <w:rPr>
          <w:rFonts w:ascii="Arial" w:hAnsi="Arial" w:cs="Arial"/>
          <w:color w:val="000000"/>
          <w:sz w:val="24"/>
          <w:szCs w:val="24"/>
        </w:rPr>
        <w:t xml:space="preserve"> </w:t>
      </w:r>
      <w:r w:rsidRPr="005A4061">
        <w:rPr>
          <w:rFonts w:ascii="Arial" w:hAnsi="Arial" w:cs="Arial"/>
          <w:sz w:val="24"/>
          <w:szCs w:val="24"/>
        </w:rPr>
        <w:t>Rom. 13:11; 1 Tim. 3:16;II Cor 3:6; Ef. 1: 7;</w:t>
      </w:r>
    </w:p>
    <w:p w14:paraId="19DFB020" w14:textId="35748727" w:rsidR="00213B29" w:rsidRPr="005A4061" w:rsidRDefault="002565CD" w:rsidP="00213B29">
      <w:pPr>
        <w:widowControl w:val="0"/>
        <w:tabs>
          <w:tab w:val="left" w:pos="21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A4061">
        <w:rPr>
          <w:rFonts w:ascii="Arial" w:hAnsi="Arial" w:cs="Arial"/>
          <w:sz w:val="24"/>
          <w:szCs w:val="24"/>
        </w:rPr>
        <w:t>Ef 2:8-9;Tg 2:14;</w:t>
      </w:r>
      <w:r w:rsidR="00FD4E81" w:rsidRPr="005A4061">
        <w:rPr>
          <w:rFonts w:ascii="Arial" w:hAnsi="Arial" w:cs="Arial"/>
          <w:sz w:val="24"/>
          <w:szCs w:val="24"/>
        </w:rPr>
        <w:t>Nm 21:4-9;I Reis 18:22-29;</w:t>
      </w:r>
      <w:r w:rsidR="00213B29" w:rsidRPr="005A4061">
        <w:rPr>
          <w:rFonts w:ascii="Arial" w:hAnsi="Arial" w:cs="Arial"/>
          <w:sz w:val="24"/>
          <w:szCs w:val="24"/>
        </w:rPr>
        <w:t xml:space="preserve"> </w:t>
      </w:r>
      <w:r w:rsidR="00213B29" w:rsidRPr="005A4061">
        <w:rPr>
          <w:rFonts w:ascii="Arial" w:hAnsi="Arial" w:cs="Arial"/>
          <w:sz w:val="24"/>
          <w:szCs w:val="24"/>
        </w:rPr>
        <w:t xml:space="preserve">Gal 3:17;Col 2:7 </w:t>
      </w:r>
    </w:p>
    <w:p w14:paraId="1DA747E3" w14:textId="3C95F2EF" w:rsidR="00337A4F" w:rsidRPr="005A4061" w:rsidRDefault="00337A4F" w:rsidP="002565CD">
      <w:pPr>
        <w:widowControl w:val="0"/>
        <w:tabs>
          <w:tab w:val="left" w:pos="21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A4061">
        <w:rPr>
          <w:rFonts w:ascii="Arial" w:hAnsi="Arial" w:cs="Arial"/>
          <w:sz w:val="24"/>
          <w:szCs w:val="24"/>
        </w:rPr>
        <w:t xml:space="preserve">Explicar as </w:t>
      </w:r>
      <w:r w:rsidR="003F04B2">
        <w:rPr>
          <w:rFonts w:ascii="Arial" w:hAnsi="Arial" w:cs="Arial"/>
          <w:sz w:val="24"/>
          <w:szCs w:val="24"/>
        </w:rPr>
        <w:t xml:space="preserve">“aparentes contradições de </w:t>
      </w:r>
      <w:r w:rsidRPr="005A4061">
        <w:rPr>
          <w:rFonts w:ascii="Arial" w:hAnsi="Arial" w:cs="Arial"/>
          <w:sz w:val="24"/>
          <w:szCs w:val="24"/>
        </w:rPr>
        <w:t>At 9:7;22:9;26:13</w:t>
      </w:r>
    </w:p>
    <w:p w14:paraId="6BEAE995" w14:textId="01730863" w:rsidR="00DB45CC" w:rsidRPr="005A4061" w:rsidRDefault="00DB45CC" w:rsidP="002565CD">
      <w:pPr>
        <w:widowControl w:val="0"/>
        <w:tabs>
          <w:tab w:val="left" w:pos="21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A4061">
        <w:rPr>
          <w:rFonts w:ascii="Arial" w:hAnsi="Arial" w:cs="Arial"/>
          <w:sz w:val="24"/>
          <w:szCs w:val="24"/>
        </w:rPr>
        <w:t>Interprete a história de José á luz do Novo Testamento</w:t>
      </w:r>
    </w:p>
    <w:p w14:paraId="623DE687" w14:textId="505A2B1D" w:rsidR="00DB45CC" w:rsidRPr="003F04B2" w:rsidRDefault="00DB45CC" w:rsidP="00DB45CC">
      <w:pPr>
        <w:widowControl w:val="0"/>
        <w:tabs>
          <w:tab w:val="left" w:pos="204"/>
        </w:tabs>
        <w:autoSpaceDE w:val="0"/>
        <w:autoSpaceDN w:val="0"/>
        <w:adjustRightInd w:val="0"/>
        <w:rPr>
          <w:rFonts w:ascii="Arial" w:hAnsi="Arial" w:cs="Arial"/>
          <w:szCs w:val="24"/>
          <w:u w:val="double"/>
        </w:rPr>
      </w:pPr>
      <w:r w:rsidRPr="00B313AB">
        <w:rPr>
          <w:rFonts w:ascii="Arial" w:hAnsi="Arial" w:cs="Arial"/>
          <w:szCs w:val="24"/>
        </w:rPr>
        <w:t>“Julga-me, Senhor, segundo a minha retidão, e segundo a integridade que há em mim (Sl. 7:8).</w:t>
      </w:r>
      <w:r w:rsidR="003F04B2">
        <w:rPr>
          <w:rFonts w:ascii="Arial" w:hAnsi="Arial" w:cs="Arial"/>
          <w:szCs w:val="24"/>
        </w:rPr>
        <w:t xml:space="preserve"> </w:t>
      </w:r>
      <w:r w:rsidR="003F04B2" w:rsidRPr="003F04B2">
        <w:rPr>
          <w:rFonts w:ascii="Arial" w:hAnsi="Arial" w:cs="Arial"/>
          <w:szCs w:val="24"/>
          <w:u w:val="double"/>
        </w:rPr>
        <w:t>DAVI ESTÁ QUERENDO DIZER O QUÊ?</w:t>
      </w:r>
    </w:p>
    <w:p w14:paraId="7BC1B04A" w14:textId="21122879" w:rsidR="00DB45CC" w:rsidRPr="003F04B2" w:rsidRDefault="00DB45CC" w:rsidP="00DB45CC">
      <w:pPr>
        <w:widowControl w:val="0"/>
        <w:tabs>
          <w:tab w:val="left" w:pos="204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u w:val="double"/>
        </w:rPr>
      </w:pPr>
      <w:r w:rsidRPr="005A4061">
        <w:rPr>
          <w:rFonts w:ascii="Arial" w:hAnsi="Arial" w:cs="Arial"/>
          <w:sz w:val="24"/>
          <w:szCs w:val="24"/>
        </w:rPr>
        <w:t xml:space="preserve">Tratando-se do administrador infiel, temos indicada sua conduta como digna de </w:t>
      </w:r>
      <w:r w:rsidRPr="005A4061">
        <w:rPr>
          <w:rFonts w:ascii="Arial" w:hAnsi="Arial" w:cs="Arial"/>
          <w:sz w:val="24"/>
          <w:szCs w:val="24"/>
        </w:rPr>
        <w:lastRenderedPageBreak/>
        <w:t>imitação; (Lc. 16:1-13).</w:t>
      </w:r>
      <w:r w:rsidR="003F04B2">
        <w:rPr>
          <w:rFonts w:ascii="Arial" w:hAnsi="Arial" w:cs="Arial"/>
          <w:sz w:val="24"/>
          <w:szCs w:val="24"/>
        </w:rPr>
        <w:t xml:space="preserve"> </w:t>
      </w:r>
      <w:r w:rsidR="003F04B2" w:rsidRPr="003F04B2">
        <w:rPr>
          <w:rFonts w:ascii="Arial" w:hAnsi="Arial" w:cs="Arial"/>
          <w:sz w:val="24"/>
          <w:szCs w:val="24"/>
          <w:u w:val="double"/>
        </w:rPr>
        <w:t>EXPLIQUE SE É ISSO MESMO.</w:t>
      </w:r>
    </w:p>
    <w:p w14:paraId="1DAF3ECA" w14:textId="659349E6" w:rsidR="00E21B60" w:rsidRPr="003F04B2" w:rsidRDefault="00E21B60" w:rsidP="00E21B60">
      <w:pPr>
        <w:widowControl w:val="0"/>
        <w:tabs>
          <w:tab w:val="left" w:pos="215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u w:val="double"/>
        </w:rPr>
      </w:pPr>
      <w:r w:rsidRPr="005A4061">
        <w:rPr>
          <w:rFonts w:ascii="Arial" w:hAnsi="Arial" w:cs="Arial"/>
          <w:sz w:val="24"/>
          <w:szCs w:val="24"/>
        </w:rPr>
        <w:t>“se o que alguém edifica sobre o fundamento é ouro, prata, pedras preciosas, madeira, feno, palha”, (1 Cor. 3:12.)</w:t>
      </w:r>
      <w:r w:rsidRPr="005A4061">
        <w:rPr>
          <w:rFonts w:ascii="Arial" w:hAnsi="Arial" w:cs="Arial"/>
          <w:sz w:val="24"/>
          <w:szCs w:val="24"/>
        </w:rPr>
        <w:t xml:space="preserve"> </w:t>
      </w:r>
      <w:r w:rsidRPr="003F04B2">
        <w:rPr>
          <w:rFonts w:ascii="Arial" w:hAnsi="Arial" w:cs="Arial"/>
          <w:sz w:val="24"/>
          <w:szCs w:val="24"/>
          <w:u w:val="double"/>
        </w:rPr>
        <w:t>&gt; em que sentido devo entender essas palavras e por quê.</w:t>
      </w:r>
    </w:p>
    <w:p w14:paraId="5E86F603" w14:textId="44C5A7A8" w:rsidR="00E21B60" w:rsidRPr="003F04B2" w:rsidRDefault="00E21B60" w:rsidP="00E21B60">
      <w:pPr>
        <w:widowControl w:val="0"/>
        <w:tabs>
          <w:tab w:val="left" w:pos="215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  <w:u w:val="double"/>
        </w:rPr>
      </w:pPr>
      <w:r w:rsidRPr="005A4061">
        <w:rPr>
          <w:rFonts w:ascii="Arial" w:hAnsi="Arial" w:cs="Arial"/>
          <w:sz w:val="24"/>
          <w:szCs w:val="24"/>
        </w:rPr>
        <w:t xml:space="preserve">Ao perguntar-lhe um príncipe, cegado por justiça própria, que bem deveria fazer para obter a vida eterna (Mat. 19:16; Luc. 18:18) e Jesus lhe responde: “Guarda os mandamentos”, quererá ensinar-lhe com esta resposta que o meio </w:t>
      </w:r>
      <w:r w:rsidRPr="00B313AB">
        <w:rPr>
          <w:rFonts w:ascii="Arial" w:hAnsi="Arial" w:cs="Arial"/>
          <w:color w:val="000000" w:themeColor="text1"/>
          <w:sz w:val="24"/>
          <w:szCs w:val="24"/>
        </w:rPr>
        <w:t>de salvação é a observância do Decálogo?</w:t>
      </w:r>
      <w:r w:rsidR="003F04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F04B2" w:rsidRPr="003F04B2">
        <w:rPr>
          <w:rFonts w:ascii="Arial" w:hAnsi="Arial" w:cs="Arial"/>
          <w:color w:val="000000" w:themeColor="text1"/>
          <w:sz w:val="24"/>
          <w:szCs w:val="24"/>
          <w:u w:val="double"/>
        </w:rPr>
        <w:t>EXPLIQUE</w:t>
      </w:r>
    </w:p>
    <w:p w14:paraId="08BB4208" w14:textId="6006436E" w:rsidR="00213B29" w:rsidRPr="003F04B2" w:rsidRDefault="00213B29" w:rsidP="00B313AB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 w:themeColor="text1"/>
          <w:u w:val="double"/>
        </w:rPr>
      </w:pPr>
      <w:r w:rsidRPr="00B313AB">
        <w:rPr>
          <w:rFonts w:ascii="Arial" w:hAnsi="Arial" w:cs="Arial"/>
          <w:b/>
          <w:bCs/>
          <w:color w:val="000000" w:themeColor="text1"/>
          <w:u w:val="single"/>
        </w:rPr>
        <w:t>Purgatório</w:t>
      </w:r>
      <w:r w:rsidRPr="00B313AB">
        <w:rPr>
          <w:rFonts w:ascii="Arial" w:hAnsi="Arial" w:cs="Arial"/>
          <w:b/>
          <w:color w:val="000000" w:themeColor="text1"/>
          <w:u w:val="single"/>
        </w:rPr>
        <w:t> </w:t>
      </w:r>
      <w:r w:rsidRPr="00B313AB">
        <w:rPr>
          <w:rFonts w:ascii="Arial" w:hAnsi="Arial" w:cs="Arial"/>
          <w:color w:val="000000" w:themeColor="text1"/>
        </w:rPr>
        <w:t>é a condição e processo de purificação ou castigo temporário</w:t>
      </w:r>
      <w:r w:rsidR="00B313AB">
        <w:rPr>
          <w:rFonts w:ascii="Arial" w:hAnsi="Arial" w:cs="Arial"/>
          <w:color w:val="000000" w:themeColor="text1"/>
          <w:vertAlign w:val="superscript"/>
        </w:rPr>
        <w:t xml:space="preserve"> </w:t>
      </w:r>
      <w:r w:rsidRPr="00B313AB">
        <w:rPr>
          <w:rFonts w:ascii="Arial" w:hAnsi="Arial" w:cs="Arial"/>
          <w:color w:val="000000" w:themeColor="text1"/>
        </w:rPr>
        <w:t>em que as almas daqueles que morrem em estado de graça são preparadas para o </w:t>
      </w:r>
      <w:hyperlink r:id="rId6" w:tooltip="Reino dos céus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Reino dos céus</w:t>
        </w:r>
      </w:hyperlink>
      <w:r w:rsidRPr="00B313AB">
        <w:rPr>
          <w:rFonts w:ascii="Arial" w:hAnsi="Arial" w:cs="Arial"/>
          <w:color w:val="000000" w:themeColor="text1"/>
        </w:rPr>
        <w:t>.</w:t>
      </w:r>
      <w:r w:rsidR="00B313AB" w:rsidRPr="00B313AB">
        <w:rPr>
          <w:rFonts w:ascii="Arial" w:hAnsi="Arial" w:cs="Arial"/>
          <w:color w:val="000000" w:themeColor="text1"/>
        </w:rPr>
        <w:t xml:space="preserve"> </w:t>
      </w:r>
      <w:r w:rsidRPr="00B313AB">
        <w:rPr>
          <w:rFonts w:ascii="Arial" w:hAnsi="Arial" w:cs="Arial"/>
          <w:color w:val="000000" w:themeColor="text1"/>
        </w:rPr>
        <w:t>A noção de purgatório é particularmente associada com o </w:t>
      </w:r>
      <w:hyperlink r:id="rId7" w:tooltip="Rito Latino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Rito Latino</w:t>
        </w:r>
      </w:hyperlink>
      <w:r w:rsidRPr="00B313AB">
        <w:rPr>
          <w:rFonts w:ascii="Arial" w:hAnsi="Arial" w:cs="Arial"/>
          <w:color w:val="000000" w:themeColor="text1"/>
        </w:rPr>
        <w:t> da </w:t>
      </w:r>
      <w:hyperlink r:id="rId8" w:tooltip="Igreja Católica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Igreja Católica</w:t>
        </w:r>
      </w:hyperlink>
      <w:r w:rsidRPr="00B313AB">
        <w:rPr>
          <w:rFonts w:ascii="Arial" w:hAnsi="Arial" w:cs="Arial"/>
          <w:color w:val="000000" w:themeColor="text1"/>
        </w:rPr>
        <w:t>, também presente nas </w:t>
      </w:r>
      <w:hyperlink r:id="rId9" w:tooltip="Igrejas orientais católicas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igrejas orientais católicas</w:t>
        </w:r>
      </w:hyperlink>
      <w:r w:rsidRPr="00B313AB">
        <w:rPr>
          <w:rFonts w:ascii="Arial" w:hAnsi="Arial" w:cs="Arial"/>
          <w:color w:val="000000" w:themeColor="text1"/>
        </w:rPr>
        <w:t> (embora muitas vezes sem usar o termo específico de "Purgatório"); os </w:t>
      </w:r>
      <w:hyperlink r:id="rId10" w:tooltip="Anglo-catolicismo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Anglo-católicos</w:t>
        </w:r>
      </w:hyperlink>
      <w:r w:rsidRPr="00B313AB">
        <w:rPr>
          <w:rFonts w:ascii="Arial" w:hAnsi="Arial" w:cs="Arial"/>
          <w:color w:val="000000" w:themeColor="text1"/>
        </w:rPr>
        <w:t> geralmente também professam a crença. As </w:t>
      </w:r>
      <w:hyperlink r:id="rId11" w:tooltip="Igrejas Ortodoxas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Igrejas Ortodoxas</w:t>
        </w:r>
      </w:hyperlink>
      <w:r w:rsidRPr="00B313AB">
        <w:rPr>
          <w:rFonts w:ascii="Arial" w:hAnsi="Arial" w:cs="Arial"/>
          <w:color w:val="000000" w:themeColor="text1"/>
        </w:rPr>
        <w:t> acreditam na possibilidade de purificação das almas dos mortos, através das orações dos vivos e pela oferta da </w:t>
      </w:r>
      <w:hyperlink r:id="rId12" w:tooltip="Divina Liturgia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Divina Liturgia</w:t>
        </w:r>
      </w:hyperlink>
      <w:r w:rsidRPr="00B313AB">
        <w:rPr>
          <w:rFonts w:ascii="Arial" w:hAnsi="Arial" w:cs="Arial"/>
          <w:color w:val="000000" w:themeColor="text1"/>
        </w:rPr>
        <w:t>, e muitos ortodoxos, especialmente entre os ascetas, na espera da </w:t>
      </w:r>
      <w:hyperlink r:id="rId13" w:tooltip="Apocatástase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apocatástase</w:t>
        </w:r>
      </w:hyperlink>
      <w:r w:rsidRPr="00B313AB">
        <w:rPr>
          <w:rFonts w:ascii="Arial" w:hAnsi="Arial" w:cs="Arial"/>
          <w:color w:val="000000" w:themeColor="text1"/>
        </w:rPr>
        <w:t>. </w:t>
      </w:r>
      <w:r w:rsidR="00B313AB" w:rsidRPr="00B313AB">
        <w:rPr>
          <w:rFonts w:ascii="Arial" w:hAnsi="Arial" w:cs="Arial"/>
          <w:color w:val="000000" w:themeColor="text1"/>
        </w:rPr>
        <w:t xml:space="preserve"> </w:t>
      </w:r>
      <w:r w:rsidRPr="00B313AB">
        <w:rPr>
          <w:rFonts w:ascii="Arial" w:hAnsi="Arial" w:cs="Arial"/>
          <w:color w:val="000000" w:themeColor="text1"/>
        </w:rPr>
        <w:t>Uma opinião semelhante, que admite a possibilidade de uma salvação final é registrada no </w:t>
      </w:r>
      <w:hyperlink r:id="rId14" w:tooltip="Mormonismo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Mormonismo</w:t>
        </w:r>
      </w:hyperlink>
      <w:r w:rsidRPr="00B313AB">
        <w:rPr>
          <w:rFonts w:ascii="Arial" w:hAnsi="Arial" w:cs="Arial"/>
          <w:color w:val="000000" w:themeColor="text1"/>
        </w:rPr>
        <w:t>.  O </w:t>
      </w:r>
      <w:hyperlink r:id="rId15" w:tooltip="Judaísmo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Judaísmo</w:t>
        </w:r>
      </w:hyperlink>
      <w:r w:rsidRPr="00B313AB">
        <w:rPr>
          <w:rFonts w:ascii="Arial" w:hAnsi="Arial" w:cs="Arial"/>
          <w:color w:val="000000" w:themeColor="text1"/>
        </w:rPr>
        <w:t> também acredita na possibilidade da purificação após a morte</w:t>
      </w:r>
      <w:hyperlink r:id="rId16" w:anchor="cite_note-6" w:history="1"/>
      <w:r w:rsidRPr="00B313AB">
        <w:rPr>
          <w:rFonts w:ascii="Arial" w:hAnsi="Arial" w:cs="Arial"/>
          <w:color w:val="000000" w:themeColor="text1"/>
        </w:rPr>
        <w:t> e pode usar a palavra "purgatório" para apresentar a sua compreensão do significado da </w:t>
      </w:r>
      <w:hyperlink r:id="rId17" w:tooltip="Geena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</w:rPr>
          <w:t>Geena</w:t>
        </w:r>
      </w:hyperlink>
      <w:r w:rsidRPr="00B313AB">
        <w:rPr>
          <w:rFonts w:ascii="Arial" w:hAnsi="Arial" w:cs="Arial"/>
          <w:color w:val="000000" w:themeColor="text1"/>
        </w:rPr>
        <w:t>.  No entanto, o conceito "purificação" da alma pode ser negado explicitamente em outras tradições de fé.</w:t>
      </w:r>
      <w:r w:rsidR="005D69C3">
        <w:rPr>
          <w:rFonts w:ascii="Arial" w:hAnsi="Arial" w:cs="Arial"/>
          <w:color w:val="000000" w:themeColor="text1"/>
        </w:rPr>
        <w:t xml:space="preserve"> </w:t>
      </w:r>
      <w:r w:rsidRPr="00B313AB">
        <w:rPr>
          <w:rFonts w:ascii="Arial" w:hAnsi="Arial" w:cs="Arial"/>
          <w:color w:val="000000" w:themeColor="text1"/>
        </w:rPr>
        <w:t>A palavra "purgatório" passou a se referir também a uma ampla gama de concepções históricas e modernas de sofrimento pós-morte, </w:t>
      </w:r>
      <w:hyperlink r:id="rId18" w:anchor="cite_note-EB-1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  <w:vertAlign w:val="superscript"/>
          </w:rPr>
          <w:t>]</w:t>
        </w:r>
      </w:hyperlink>
      <w:r w:rsidRPr="00B313AB">
        <w:rPr>
          <w:rFonts w:ascii="Arial" w:hAnsi="Arial" w:cs="Arial"/>
          <w:color w:val="000000" w:themeColor="text1"/>
        </w:rPr>
        <w:t> e é usado, em um sentido não-específico, para qualquer lugar ou condição de sofrimento ou tormento, especialmente um que é temporário. A cultura popular também apresenta a concepção do purgatório como um lugar físico,</w:t>
      </w:r>
      <w:hyperlink r:id="rId19" w:anchor="cite_note-EB-1" w:history="1">
        <w:r w:rsidRPr="00B313AB">
          <w:rPr>
            <w:rStyle w:val="Hyperlink"/>
            <w:rFonts w:ascii="Arial" w:hAnsi="Arial" w:cs="Arial"/>
            <w:color w:val="000000" w:themeColor="text1"/>
            <w:u w:val="none"/>
            <w:vertAlign w:val="superscript"/>
          </w:rPr>
          <w:t>[1]</w:t>
        </w:r>
      </w:hyperlink>
      <w:r w:rsidRPr="00B313AB">
        <w:rPr>
          <w:rFonts w:ascii="Arial" w:hAnsi="Arial" w:cs="Arial"/>
          <w:color w:val="000000" w:themeColor="text1"/>
        </w:rPr>
        <w:t> embora a Igreja (</w:t>
      </w:r>
      <w:r w:rsidR="005D69C3" w:rsidRPr="00B313AB">
        <w:rPr>
          <w:rFonts w:ascii="Arial" w:hAnsi="Arial" w:cs="Arial"/>
          <w:color w:val="000000" w:themeColor="text1"/>
        </w:rPr>
        <w:t>católica</w:t>
      </w:r>
      <w:r w:rsidRPr="00B313AB">
        <w:rPr>
          <w:rFonts w:ascii="Arial" w:hAnsi="Arial" w:cs="Arial"/>
          <w:color w:val="000000" w:themeColor="text1"/>
        </w:rPr>
        <w:t>) ensine que o Purgatório não indica um lugar, mas "uma condição de existência".</w:t>
      </w:r>
      <w:r w:rsidRPr="00B313AB">
        <w:rPr>
          <w:rFonts w:ascii="Arial" w:hAnsi="Arial" w:cs="Arial"/>
          <w:color w:val="000000" w:themeColor="text1"/>
        </w:rPr>
        <w:t xml:space="preserve"> &gt; Usam esse texto como base I Cor 3:15 </w:t>
      </w:r>
      <w:r w:rsidRPr="003F04B2">
        <w:rPr>
          <w:rFonts w:ascii="Arial" w:hAnsi="Arial" w:cs="Arial"/>
          <w:color w:val="000000" w:themeColor="text1"/>
          <w:u w:val="double"/>
        </w:rPr>
        <w:t>Explique</w:t>
      </w:r>
    </w:p>
    <w:p w14:paraId="311C0B3F" w14:textId="77777777" w:rsidR="00CC2F6B" w:rsidRDefault="00CC2F6B" w:rsidP="00B313AB">
      <w:pPr>
        <w:pStyle w:val="Ttulo3"/>
        <w:shd w:val="clear" w:color="auto" w:fill="FFFFFF"/>
        <w:spacing w:before="72"/>
        <w:jc w:val="both"/>
        <w:rPr>
          <w:rStyle w:val="mw-headline"/>
          <w:rFonts w:ascii="Arial" w:hAnsi="Arial" w:cs="Arial"/>
          <w:b/>
          <w:color w:val="000000" w:themeColor="text1"/>
          <w:u w:val="single"/>
        </w:rPr>
      </w:pPr>
    </w:p>
    <w:p w14:paraId="427733B3" w14:textId="2647F202" w:rsidR="00213B29" w:rsidRPr="005D69C3" w:rsidRDefault="00213B29" w:rsidP="00B313AB">
      <w:pPr>
        <w:pStyle w:val="Ttulo3"/>
        <w:shd w:val="clear" w:color="auto" w:fill="FFFFFF"/>
        <w:spacing w:before="72"/>
        <w:jc w:val="both"/>
        <w:rPr>
          <w:rFonts w:ascii="Arial" w:hAnsi="Arial" w:cs="Arial"/>
          <w:b/>
          <w:color w:val="000000" w:themeColor="text1"/>
          <w:u w:val="single"/>
        </w:rPr>
      </w:pPr>
      <w:r w:rsidRPr="005D69C3">
        <w:rPr>
          <w:rStyle w:val="mw-headline"/>
          <w:rFonts w:ascii="Arial" w:hAnsi="Arial" w:cs="Arial"/>
          <w:b/>
          <w:color w:val="000000" w:themeColor="text1"/>
          <w:u w:val="single"/>
        </w:rPr>
        <w:t>Orações pelos mortos e Indulgências</w:t>
      </w:r>
    </w:p>
    <w:p w14:paraId="0261C9F8" w14:textId="77777777" w:rsidR="00CC2F6B" w:rsidRDefault="00CC2F6B" w:rsidP="004F3F12">
      <w:pPr>
        <w:jc w:val="both"/>
        <w:rPr>
          <w:rFonts w:ascii="Arial" w:hAnsi="Arial" w:cs="Arial"/>
          <w:color w:val="000000" w:themeColor="text1"/>
          <w:sz w:val="24"/>
        </w:rPr>
      </w:pPr>
    </w:p>
    <w:p w14:paraId="2D54A724" w14:textId="7DBE236B" w:rsidR="00213B29" w:rsidRPr="004F3F12" w:rsidRDefault="00213B29" w:rsidP="004F3F12">
      <w:pPr>
        <w:jc w:val="both"/>
        <w:rPr>
          <w:rFonts w:ascii="Arial" w:hAnsi="Arial" w:cs="Arial"/>
          <w:color w:val="000000" w:themeColor="text1"/>
          <w:sz w:val="24"/>
        </w:rPr>
      </w:pPr>
      <w:r w:rsidRPr="004F3F12">
        <w:rPr>
          <w:rFonts w:ascii="Arial" w:hAnsi="Arial" w:cs="Arial"/>
          <w:color w:val="000000" w:themeColor="text1"/>
          <w:sz w:val="24"/>
        </w:rPr>
        <w:t>A Igreja Católica ensina que o destino dos que estão no purgatório pode ser afetado pelas ações e </w:t>
      </w:r>
      <w:hyperlink r:id="rId20" w:tooltip="Intercessão" w:history="1">
        <w:r w:rsidRPr="004F3F12">
          <w:rPr>
            <w:rStyle w:val="Hyperlink"/>
            <w:rFonts w:ascii="Arial" w:hAnsi="Arial" w:cs="Arial"/>
            <w:color w:val="000000" w:themeColor="text1"/>
            <w:sz w:val="24"/>
            <w:u w:val="none"/>
          </w:rPr>
          <w:t>intercessão</w:t>
        </w:r>
      </w:hyperlink>
      <w:r w:rsidRPr="004F3F12">
        <w:rPr>
          <w:rFonts w:ascii="Arial" w:hAnsi="Arial" w:cs="Arial"/>
          <w:color w:val="000000" w:themeColor="text1"/>
          <w:sz w:val="24"/>
        </w:rPr>
        <w:t> dos vivos. Seu ensino se baseia na prática da </w:t>
      </w:r>
      <w:hyperlink r:id="rId21" w:tooltip="Oração" w:history="1">
        <w:r w:rsidRPr="004F3F12">
          <w:rPr>
            <w:rStyle w:val="Hyperlink"/>
            <w:rFonts w:ascii="Arial" w:hAnsi="Arial" w:cs="Arial"/>
            <w:color w:val="000000" w:themeColor="text1"/>
            <w:sz w:val="24"/>
            <w:u w:val="none"/>
          </w:rPr>
          <w:t>oração</w:t>
        </w:r>
      </w:hyperlink>
      <w:r w:rsidRPr="004F3F12">
        <w:rPr>
          <w:rFonts w:ascii="Arial" w:hAnsi="Arial" w:cs="Arial"/>
          <w:color w:val="000000" w:themeColor="text1"/>
          <w:sz w:val="24"/>
        </w:rPr>
        <w:t> pelos mortos mencionado em </w:t>
      </w:r>
      <w:hyperlink r:id="rId22" w:tooltip="II Macabeus" w:history="1">
        <w:r w:rsidRPr="004F3F12">
          <w:rPr>
            <w:rStyle w:val="Hyperlink"/>
            <w:rFonts w:ascii="Arial" w:hAnsi="Arial" w:cs="Arial"/>
            <w:color w:val="000000" w:themeColor="text1"/>
            <w:sz w:val="24"/>
            <w:u w:val="none"/>
          </w:rPr>
          <w:t>II Macabeus</w:t>
        </w:r>
      </w:hyperlink>
      <w:r w:rsidRPr="004F3F12">
        <w:rPr>
          <w:rFonts w:ascii="Arial" w:hAnsi="Arial" w:cs="Arial"/>
          <w:color w:val="000000" w:themeColor="text1"/>
          <w:sz w:val="24"/>
        </w:rPr>
        <w:t> 12:42-46, considerada pelos católicos e ortodoxos parte da </w:t>
      </w:r>
      <w:hyperlink r:id="rId23" w:tooltip="Bíblia" w:history="1">
        <w:r w:rsidRPr="004F3F12">
          <w:rPr>
            <w:rStyle w:val="Hyperlink"/>
            <w:rFonts w:ascii="Arial" w:hAnsi="Arial" w:cs="Arial"/>
            <w:color w:val="000000" w:themeColor="text1"/>
            <w:sz w:val="24"/>
            <w:u w:val="none"/>
          </w:rPr>
          <w:t>Sagrada Escritura</w:t>
        </w:r>
      </w:hyperlink>
      <w:r w:rsidRPr="004F3F12">
        <w:rPr>
          <w:rFonts w:ascii="Arial" w:hAnsi="Arial" w:cs="Arial"/>
          <w:color w:val="000000" w:themeColor="text1"/>
          <w:sz w:val="24"/>
        </w:rPr>
        <w:t>. </w:t>
      </w:r>
      <w:r w:rsidR="005D69C3" w:rsidRPr="004F3F12">
        <w:rPr>
          <w:rFonts w:ascii="Arial" w:hAnsi="Arial" w:cs="Arial"/>
          <w:color w:val="000000" w:themeColor="text1"/>
          <w:sz w:val="24"/>
        </w:rPr>
        <w:t xml:space="preserve"> </w:t>
      </w:r>
      <w:r w:rsidRPr="004F3F12">
        <w:rPr>
          <w:rFonts w:ascii="Arial" w:hAnsi="Arial" w:cs="Arial"/>
          <w:color w:val="000000" w:themeColor="text1"/>
          <w:sz w:val="24"/>
        </w:rPr>
        <w:t>Além destes trechos do Antigo Testamento, a Igreja também justifica a doutrina sobre o estado de purificação final da alma na oração que o </w:t>
      </w:r>
      <w:hyperlink r:id="rId24" w:tooltip="Paulo de Tarso" w:history="1">
        <w:r w:rsidRPr="004F3F12">
          <w:rPr>
            <w:rStyle w:val="Hyperlink"/>
            <w:rFonts w:ascii="Arial" w:hAnsi="Arial" w:cs="Arial"/>
            <w:color w:val="000000" w:themeColor="text1"/>
            <w:sz w:val="24"/>
            <w:u w:val="none"/>
          </w:rPr>
          <w:t>Apóstolo Paulo</w:t>
        </w:r>
      </w:hyperlink>
      <w:r w:rsidRPr="004F3F12">
        <w:rPr>
          <w:rFonts w:ascii="Arial" w:hAnsi="Arial" w:cs="Arial"/>
          <w:color w:val="000000" w:themeColor="text1"/>
          <w:sz w:val="24"/>
        </w:rPr>
        <w:t> fez em favor de um amigo falecido, </w:t>
      </w:r>
      <w:hyperlink r:id="rId25" w:tooltip="Onesíforo" w:history="1">
        <w:r w:rsidRPr="004F3F12">
          <w:rPr>
            <w:rStyle w:val="Hyperlink"/>
            <w:rFonts w:ascii="Arial" w:hAnsi="Arial" w:cs="Arial"/>
            <w:color w:val="000000" w:themeColor="text1"/>
            <w:sz w:val="24"/>
            <w:u w:val="none"/>
          </w:rPr>
          <w:t>Onesíforo</w:t>
        </w:r>
      </w:hyperlink>
      <w:r w:rsidRPr="004F3F12">
        <w:rPr>
          <w:rFonts w:ascii="Arial" w:hAnsi="Arial" w:cs="Arial"/>
          <w:color w:val="000000" w:themeColor="text1"/>
          <w:sz w:val="24"/>
        </w:rPr>
        <w:t>, nestes termos:</w:t>
      </w:r>
      <w:r w:rsidR="00C9102D">
        <w:rPr>
          <w:rFonts w:ascii="Arial" w:hAnsi="Arial" w:cs="Arial"/>
          <w:color w:val="000000" w:themeColor="text1"/>
          <w:sz w:val="24"/>
        </w:rPr>
        <w:t xml:space="preserve">  II Tm 1:16-18</w:t>
      </w:r>
    </w:p>
    <w:p w14:paraId="1D8CEC62" w14:textId="3D7DDC51" w:rsidR="00A17050" w:rsidRPr="00B313AB" w:rsidRDefault="002565CD" w:rsidP="00B313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313AB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</w:p>
    <w:sectPr w:rsidR="00A17050" w:rsidRPr="00B313AB">
      <w:headerReference w:type="default" r:id="rId26"/>
      <w:footerReference w:type="default" r:id="rId2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52651" w14:textId="77777777" w:rsidR="005E31B5" w:rsidRDefault="005E31B5" w:rsidP="005E31B5">
      <w:pPr>
        <w:spacing w:after="0" w:line="240" w:lineRule="auto"/>
      </w:pPr>
      <w:r>
        <w:separator/>
      </w:r>
    </w:p>
  </w:endnote>
  <w:endnote w:type="continuationSeparator" w:id="0">
    <w:p w14:paraId="315F6F65" w14:textId="77777777" w:rsidR="005E31B5" w:rsidRDefault="005E31B5" w:rsidP="005E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F22F1" w14:textId="7FD45C53" w:rsidR="005E31B5" w:rsidRDefault="005E31B5">
    <w:pPr>
      <w:pStyle w:val="Rodap"/>
    </w:pPr>
    <w:r>
      <w:t>Pr. Nilson Carvalho</w:t>
    </w:r>
    <w:r>
      <w:t xml:space="preserve">                   </w:t>
    </w:r>
    <w:r>
      <w:t>Curso Preparação de Pastores           Interpretação Bíblica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FFD98" w14:textId="77777777" w:rsidR="005E31B5" w:rsidRDefault="005E31B5" w:rsidP="005E31B5">
      <w:pPr>
        <w:spacing w:after="0" w:line="240" w:lineRule="auto"/>
      </w:pPr>
      <w:r>
        <w:separator/>
      </w:r>
    </w:p>
  </w:footnote>
  <w:footnote w:type="continuationSeparator" w:id="0">
    <w:p w14:paraId="4A2EC57B" w14:textId="77777777" w:rsidR="005E31B5" w:rsidRDefault="005E31B5" w:rsidP="005E3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2993459"/>
      <w:docPartObj>
        <w:docPartGallery w:val="Page Numbers (Top of Page)"/>
        <w:docPartUnique/>
      </w:docPartObj>
    </w:sdtPr>
    <w:sdtContent>
      <w:p w14:paraId="188D91F6" w14:textId="19196175" w:rsidR="005E31B5" w:rsidRDefault="005E31B5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765">
          <w:rPr>
            <w:noProof/>
          </w:rPr>
          <w:t>1</w:t>
        </w:r>
        <w:r>
          <w:fldChar w:fldCharType="end"/>
        </w:r>
      </w:p>
    </w:sdtContent>
  </w:sdt>
  <w:p w14:paraId="1DDA5C9F" w14:textId="77777777" w:rsidR="005E31B5" w:rsidRDefault="005E31B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3FA"/>
    <w:rsid w:val="00213B29"/>
    <w:rsid w:val="002565CD"/>
    <w:rsid w:val="002675F2"/>
    <w:rsid w:val="00337A4F"/>
    <w:rsid w:val="003F04B2"/>
    <w:rsid w:val="00465373"/>
    <w:rsid w:val="004F3F12"/>
    <w:rsid w:val="005A4061"/>
    <w:rsid w:val="005D69C3"/>
    <w:rsid w:val="005E31B5"/>
    <w:rsid w:val="00761675"/>
    <w:rsid w:val="008C1765"/>
    <w:rsid w:val="00A17050"/>
    <w:rsid w:val="00B313AB"/>
    <w:rsid w:val="00C9102D"/>
    <w:rsid w:val="00CC2F6B"/>
    <w:rsid w:val="00DB45CC"/>
    <w:rsid w:val="00DB63FA"/>
    <w:rsid w:val="00E21B60"/>
    <w:rsid w:val="00FD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466F650"/>
  <w15:chartTrackingRefBased/>
  <w15:docId w15:val="{6B261B79-9BF4-41F2-BA61-8932738F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B63F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B63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63F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B63F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13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213B29"/>
    <w:rPr>
      <w:color w:val="0000FF"/>
      <w:u w:val="single"/>
    </w:rPr>
  </w:style>
  <w:style w:type="character" w:customStyle="1" w:styleId="mw-headline">
    <w:name w:val="mw-headline"/>
    <w:basedOn w:val="Fontepargpadro"/>
    <w:rsid w:val="00213B29"/>
  </w:style>
  <w:style w:type="character" w:customStyle="1" w:styleId="mw-editsection">
    <w:name w:val="mw-editsection"/>
    <w:basedOn w:val="Fontepargpadro"/>
    <w:rsid w:val="00213B29"/>
  </w:style>
  <w:style w:type="character" w:customStyle="1" w:styleId="mw-editsection-bracket">
    <w:name w:val="mw-editsection-bracket"/>
    <w:basedOn w:val="Fontepargpadro"/>
    <w:rsid w:val="00213B29"/>
  </w:style>
  <w:style w:type="character" w:customStyle="1" w:styleId="mw-editsection-divider">
    <w:name w:val="mw-editsection-divider"/>
    <w:basedOn w:val="Fontepargpadro"/>
    <w:rsid w:val="00213B29"/>
  </w:style>
  <w:style w:type="character" w:styleId="CitaoHTML">
    <w:name w:val="HTML Cite"/>
    <w:basedOn w:val="Fontepargpadro"/>
    <w:uiPriority w:val="99"/>
    <w:semiHidden/>
    <w:unhideWhenUsed/>
    <w:rsid w:val="00213B29"/>
    <w:rPr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5E31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31B5"/>
  </w:style>
  <w:style w:type="paragraph" w:styleId="Rodap">
    <w:name w:val="footer"/>
    <w:basedOn w:val="Normal"/>
    <w:link w:val="RodapChar"/>
    <w:uiPriority w:val="99"/>
    <w:unhideWhenUsed/>
    <w:rsid w:val="005E31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31B5"/>
  </w:style>
  <w:style w:type="paragraph" w:styleId="Ttulo">
    <w:name w:val="Title"/>
    <w:basedOn w:val="Normal"/>
    <w:next w:val="Normal"/>
    <w:link w:val="TtuloChar"/>
    <w:uiPriority w:val="10"/>
    <w:qFormat/>
    <w:rsid w:val="008C176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C176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87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00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207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Igreja_Cat%C3%B3lica" TargetMode="External"/><Relationship Id="rId13" Type="http://schemas.openxmlformats.org/officeDocument/2006/relationships/hyperlink" Target="https://pt.wikipedia.org/wiki/Apocat%C3%A1stase" TargetMode="External"/><Relationship Id="rId18" Type="http://schemas.openxmlformats.org/officeDocument/2006/relationships/hyperlink" Target="https://pt.wikipedia.org/wiki/Purgat%C3%B3rio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pt.wikipedia.org/wiki/Ora%C3%A7%C3%A3o" TargetMode="External"/><Relationship Id="rId7" Type="http://schemas.openxmlformats.org/officeDocument/2006/relationships/hyperlink" Target="https://pt.wikipedia.org/wiki/Rito_Latino" TargetMode="External"/><Relationship Id="rId12" Type="http://schemas.openxmlformats.org/officeDocument/2006/relationships/hyperlink" Target="https://pt.wikipedia.org/wiki/Divina_Liturgia" TargetMode="External"/><Relationship Id="rId17" Type="http://schemas.openxmlformats.org/officeDocument/2006/relationships/hyperlink" Target="https://pt.wikipedia.org/wiki/Geena" TargetMode="External"/><Relationship Id="rId25" Type="http://schemas.openxmlformats.org/officeDocument/2006/relationships/hyperlink" Target="https://pt.wikipedia.org/wiki/Ones%C3%ADfor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t.wikipedia.org/wiki/Purgat%C3%B3rio" TargetMode="External"/><Relationship Id="rId20" Type="http://schemas.openxmlformats.org/officeDocument/2006/relationships/hyperlink" Target="https://pt.wikipedia.org/wiki/Intercess%C3%A3o" TargetMode="External"/><Relationship Id="rId29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hyperlink" Target="https://pt.wikipedia.org/wiki/Reino_dos_c%C3%A9us" TargetMode="External"/><Relationship Id="rId11" Type="http://schemas.openxmlformats.org/officeDocument/2006/relationships/hyperlink" Target="https://pt.wikipedia.org/wiki/Igrejas_Ortodoxas" TargetMode="External"/><Relationship Id="rId24" Type="http://schemas.openxmlformats.org/officeDocument/2006/relationships/hyperlink" Target="https://pt.wikipedia.org/wiki/Paulo_de_Tarso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pt.wikipedia.org/wiki/Juda%C3%ADsmo" TargetMode="External"/><Relationship Id="rId23" Type="http://schemas.openxmlformats.org/officeDocument/2006/relationships/hyperlink" Target="https://pt.wikipedia.org/wiki/B%C3%ADblia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pt.wikipedia.org/wiki/Anglo-catolicismo" TargetMode="External"/><Relationship Id="rId19" Type="http://schemas.openxmlformats.org/officeDocument/2006/relationships/hyperlink" Target="https://pt.wikipedia.org/wiki/Purgat%C3%B3rio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t.wikipedia.org/wiki/Igrejas_orientais_cat%C3%B3licas" TargetMode="External"/><Relationship Id="rId14" Type="http://schemas.openxmlformats.org/officeDocument/2006/relationships/hyperlink" Target="https://pt.wikipedia.org/wiki/Mormonismo" TargetMode="External"/><Relationship Id="rId22" Type="http://schemas.openxmlformats.org/officeDocument/2006/relationships/hyperlink" Target="https://pt.wikipedia.org/wiki/II_Macabeus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26"/>
    <w:rsid w:val="0006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2936B2092E04E93B2F2C3A200C51BB8">
    <w:name w:val="E2936B2092E04E93B2F2C3A200C51BB8"/>
    <w:rsid w:val="000638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1391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Nilson Carvalho Carvalho</dc:creator>
  <cp:keywords/>
  <dc:description/>
  <cp:lastModifiedBy>Nilson Carvalho Carvalho</cp:lastModifiedBy>
  <cp:revision>5</cp:revision>
  <dcterms:created xsi:type="dcterms:W3CDTF">2017-06-27T19:01:00Z</dcterms:created>
  <dcterms:modified xsi:type="dcterms:W3CDTF">2017-06-28T16:04:00Z</dcterms:modified>
</cp:coreProperties>
</file>